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B73432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B73432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7E64A5" w:rsidRPr="007718A7" w14:paraId="38E3C02D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B75753" w:rsidRPr="007718A7" w:rsidRDefault="000A3EC1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</w:t>
            </w:r>
            <w:r w:rsidR="00B75753"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věcech technických: </w:t>
            </w:r>
          </w:p>
        </w:tc>
        <w:tc>
          <w:tcPr>
            <w:tcW w:w="2551" w:type="dxa"/>
          </w:tcPr>
          <w:p w14:paraId="4FEC74D9" w14:textId="3289F58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ADC4FF3" w14:textId="66D8FD4F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C1125CA" w14:textId="28B2A1E5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40E5FC61" w:rsidR="00A85DD0" w:rsidRPr="007718A7" w:rsidRDefault="00A85DD0" w:rsidP="00CF4ABC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spolufinancována z dotace v rámci Programu </w:t>
      </w:r>
      <w:r w:rsidRPr="003E08BD">
        <w:rPr>
          <w:rFonts w:asciiTheme="minorHAnsi" w:hAnsiTheme="minorHAnsi" w:cstheme="minorHAnsi"/>
          <w:color w:val="auto"/>
          <w:sz w:val="22"/>
          <w:szCs w:val="22"/>
        </w:rPr>
        <w:t>013 310 Rozvoj a obnova materiálně technické základny sociálních služ</w:t>
      </w:r>
      <w:r w:rsidR="003E08BD" w:rsidRPr="003E08BD">
        <w:rPr>
          <w:rFonts w:asciiTheme="minorHAnsi" w:hAnsiTheme="minorHAnsi" w:cstheme="minorHAnsi"/>
          <w:color w:val="auto"/>
          <w:sz w:val="22"/>
          <w:szCs w:val="22"/>
        </w:rPr>
        <w:t>eb 2016-2024</w:t>
      </w:r>
      <w:r w:rsidRPr="003E08B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D0061" w:rsidRPr="003E08BD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</w:t>
      </w:r>
      <w:r w:rsidR="00CF4ABC" w:rsidRPr="00CF4ABC">
        <w:rPr>
          <w:rFonts w:asciiTheme="minorHAnsi" w:hAnsiTheme="minorHAnsi" w:cstheme="minorHAnsi"/>
          <w:bCs/>
          <w:color w:val="auto"/>
          <w:sz w:val="22"/>
          <w:szCs w:val="22"/>
        </w:rPr>
        <w:t>013D313002702</w:t>
      </w:r>
      <w:r w:rsidR="00AD0061" w:rsidRPr="003E08BD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B9091F2" w14:textId="77777777" w:rsidR="00305828" w:rsidRDefault="00305828" w:rsidP="003E08B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Součástí projektu je rovněž pořízení výpočetní techniky,</w:t>
      </w:r>
    </w:p>
    <w:p w14:paraId="25792429" w14:textId="1BC554DE" w:rsidR="00A85DD0" w:rsidRPr="007718A7" w:rsidRDefault="00A85DD0" w:rsidP="003E08B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realizoval výběrové řízení k zadání zakázky na dodávky </w:t>
      </w:r>
      <w:r w:rsidR="00305828">
        <w:rPr>
          <w:rFonts w:asciiTheme="minorHAnsi" w:hAnsiTheme="minorHAnsi" w:cstheme="minorHAnsi"/>
          <w:color w:val="auto"/>
          <w:sz w:val="22"/>
          <w:szCs w:val="22"/>
        </w:rPr>
        <w:t xml:space="preserve">mimo režim zákona č. 134/2016 Sb., o zadávání veřejných zakázek, ve znění pozdějších předpisů,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 xml:space="preserve">Domov seniorů v Lomnici </w:t>
      </w:r>
      <w:r w:rsidR="00926302" w:rsidRPr="00AC468C">
        <w:rPr>
          <w:rFonts w:asciiTheme="minorHAnsi" w:hAnsiTheme="minorHAnsi" w:cstheme="minorHAnsi"/>
          <w:i/>
          <w:color w:val="auto"/>
          <w:sz w:val="22"/>
          <w:szCs w:val="22"/>
        </w:rPr>
        <w:t xml:space="preserve">nad </w:t>
      </w:r>
      <w:proofErr w:type="gramStart"/>
      <w:r w:rsidR="00926302" w:rsidRPr="00AC468C">
        <w:rPr>
          <w:rFonts w:asciiTheme="minorHAnsi" w:hAnsiTheme="minorHAnsi" w:cstheme="minorHAnsi"/>
          <w:i/>
          <w:color w:val="auto"/>
          <w:sz w:val="22"/>
          <w:szCs w:val="22"/>
        </w:rPr>
        <w:t>Popelkou</w:t>
      </w:r>
      <w:r w:rsidR="00926302" w:rsidRPr="00AC468C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3E08BD" w:rsidRPr="00AC468C">
        <w:rPr>
          <w:rFonts w:asciiTheme="minorHAnsi" w:hAnsiTheme="minorHAnsi" w:cstheme="minorHAnsi"/>
          <w:i/>
          <w:color w:val="auto"/>
          <w:sz w:val="22"/>
          <w:szCs w:val="22"/>
        </w:rPr>
        <w:t>dodávka</w:t>
      </w:r>
      <w:proofErr w:type="gramEnd"/>
      <w:r w:rsidR="003E08BD" w:rsidRPr="00AC468C">
        <w:rPr>
          <w:rFonts w:asciiTheme="minorHAnsi" w:hAnsiTheme="minorHAnsi" w:cstheme="minorHAnsi"/>
          <w:i/>
          <w:color w:val="auto"/>
          <w:sz w:val="22"/>
          <w:szCs w:val="22"/>
        </w:rPr>
        <w:t xml:space="preserve"> výpočetní techniky</w:t>
      </w:r>
      <w:r w:rsidRPr="00AC468C">
        <w:rPr>
          <w:rFonts w:asciiTheme="minorHAnsi" w:hAnsiTheme="minorHAnsi" w:cstheme="minorHAnsi"/>
          <w:color w:val="auto"/>
          <w:sz w:val="22"/>
          <w:szCs w:val="22"/>
        </w:rPr>
        <w:t>“ (dále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5D3D650" w14:textId="79820AA0" w:rsidR="00E1464B" w:rsidRPr="007718A7" w:rsidRDefault="00C15C20" w:rsidP="00CF4ABC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2E1BE663" w14:textId="54DA44DE" w:rsidR="00331C11" w:rsidRPr="007718A7" w:rsidRDefault="001A6E09" w:rsidP="003E08BD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2587BF1E" w14:textId="0FBEAFC6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serveru provedení RACK</w:t>
      </w:r>
    </w:p>
    <w:p w14:paraId="63BBB1C5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 ks MS Windows Server 2022 Standard  </w:t>
      </w:r>
    </w:p>
    <w:p w14:paraId="329FC489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2 ks MS Windows Server CAL 2022 </w:t>
      </w:r>
    </w:p>
    <w:p w14:paraId="364379D0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UPS 1500VA, provedení RACK pro server</w:t>
      </w:r>
    </w:p>
    <w:p w14:paraId="55A4E353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NAS na zálohování</w:t>
      </w:r>
    </w:p>
    <w:p w14:paraId="31B1BAEC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2 ks HDD 6TB pro NAS</w:t>
      </w:r>
    </w:p>
    <w:p w14:paraId="0A5CCC6D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10 ks počítačů All in One</w:t>
      </w:r>
    </w:p>
    <w:p w14:paraId="251B1929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3 ks notebooků</w:t>
      </w:r>
    </w:p>
    <w:p w14:paraId="1BA11024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3 ks dokovacích stanic pro notebook</w:t>
      </w:r>
    </w:p>
    <w:p w14:paraId="2AEEFCBC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10 ks UPS pro PC s výstupem alespoň pro 3-5 zařízení </w:t>
      </w:r>
    </w:p>
    <w:p w14:paraId="2D62748A" w14:textId="436992BB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2 ks mu</w:t>
      </w:r>
      <w:r w:rsidR="004A3874">
        <w:rPr>
          <w:rFonts w:asciiTheme="minorHAnsi" w:hAnsiTheme="minorHAnsi" w:cstheme="minorHAnsi"/>
        </w:rPr>
        <w:t>ltifunkčních barevných tiskáren</w:t>
      </w:r>
    </w:p>
    <w:p w14:paraId="351DAD79" w14:textId="5DD13A4E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 ks </w:t>
      </w:r>
      <w:r w:rsidR="004A3874">
        <w:rPr>
          <w:rFonts w:asciiTheme="minorHAnsi" w:hAnsiTheme="minorHAnsi" w:cstheme="minorHAnsi"/>
        </w:rPr>
        <w:t>multifunkční černobílé tiskárny</w:t>
      </w:r>
    </w:p>
    <w:p w14:paraId="73608025" w14:textId="4C2E4822" w:rsidR="00FC7459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6 ks la</w:t>
      </w:r>
      <w:r w:rsidR="004C3BE1">
        <w:rPr>
          <w:rFonts w:asciiTheme="minorHAnsi" w:hAnsiTheme="minorHAnsi" w:cstheme="minorHAnsi"/>
        </w:rPr>
        <w:t>serových černobílých tiskáren</w:t>
      </w:r>
    </w:p>
    <w:p w14:paraId="3AE32AAA" w14:textId="6939EBEE" w:rsidR="00B66DDA" w:rsidRPr="007718A7" w:rsidRDefault="000B2E7A" w:rsidP="00305C0C">
      <w:pPr>
        <w:pStyle w:val="Nadpis2"/>
        <w:keepNext w:val="0"/>
        <w:spacing w:before="120" w:after="0"/>
        <w:ind w:left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7718A7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“) v souladu s Přílohou č. 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„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Katalogová dokumentace předmětu koupě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 která je nedílnou součástí Smlouvy, a umožnit Kupujícímu nabýt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5091B219" w:rsidR="001010AE" w:rsidRDefault="0038754B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opravu a instalaci Předmětu koupě a jeho uvedení do řádného chodu</w:t>
      </w:r>
      <w:r w:rsidR="001D5E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místě </w:t>
      </w:r>
      <w:r w:rsidR="001010AE">
        <w:rPr>
          <w:rFonts w:asciiTheme="minorHAnsi" w:hAnsiTheme="minorHAnsi" w:cstheme="minorHAnsi"/>
        </w:rPr>
        <w:t xml:space="preserve">plnění </w:t>
      </w:r>
      <w:r w:rsidR="001F1ABF">
        <w:rPr>
          <w:rFonts w:asciiTheme="minorHAnsi" w:hAnsiTheme="minorHAnsi" w:cstheme="minorHAnsi"/>
        </w:rPr>
        <w:t>Z</w:t>
      </w:r>
      <w:r w:rsidR="008E212F">
        <w:rPr>
          <w:rFonts w:asciiTheme="minorHAnsi" w:hAnsiTheme="minorHAnsi" w:cstheme="minorHAnsi"/>
        </w:rPr>
        <w:t>akázky</w:t>
      </w:r>
      <w:r>
        <w:rPr>
          <w:rFonts w:asciiTheme="minorHAnsi" w:hAnsiTheme="minorHAnsi" w:cstheme="minorHAnsi"/>
        </w:rPr>
        <w:t>, které je</w:t>
      </w:r>
      <w:r w:rsidR="008E212F">
        <w:rPr>
          <w:rFonts w:asciiTheme="minorHAnsi" w:hAnsiTheme="minorHAnsi" w:cstheme="minorHAnsi"/>
        </w:rPr>
        <w:t xml:space="preserve"> </w:t>
      </w:r>
      <w:r w:rsidR="005A6A24">
        <w:rPr>
          <w:rFonts w:asciiTheme="minorHAnsi" w:hAnsiTheme="minorHAnsi" w:cstheme="minorHAnsi"/>
        </w:rPr>
        <w:t>specifikované v odst</w:t>
      </w:r>
      <w:r w:rsidR="00CD7EF1">
        <w:rPr>
          <w:rFonts w:asciiTheme="minorHAnsi" w:hAnsiTheme="minorHAnsi" w:cstheme="minorHAnsi"/>
        </w:rPr>
        <w:t>. 4</w:t>
      </w:r>
      <w:r w:rsidR="001010AE">
        <w:rPr>
          <w:rFonts w:asciiTheme="minorHAnsi" w:hAnsiTheme="minorHAnsi" w:cstheme="minorHAnsi"/>
        </w:rPr>
        <w:t>.</w:t>
      </w:r>
      <w:r w:rsidR="00CD7EF1">
        <w:rPr>
          <w:rFonts w:asciiTheme="minorHAnsi" w:hAnsiTheme="minorHAnsi" w:cstheme="minorHAnsi"/>
        </w:rPr>
        <w:t>3</w:t>
      </w:r>
      <w:r w:rsidR="001010AE">
        <w:rPr>
          <w:rFonts w:asciiTheme="minorHAnsi" w:hAnsiTheme="minorHAnsi" w:cstheme="minorHAnsi"/>
        </w:rPr>
        <w:t xml:space="preserve"> S</w:t>
      </w:r>
      <w:r w:rsidR="001F1ABF">
        <w:rPr>
          <w:rFonts w:asciiTheme="minorHAnsi" w:hAnsiTheme="minorHAnsi" w:cstheme="minorHAnsi"/>
        </w:rPr>
        <w:t>mlouvy;</w:t>
      </w:r>
      <w:r>
        <w:rPr>
          <w:rFonts w:asciiTheme="minorHAnsi" w:hAnsiTheme="minorHAnsi" w:cstheme="minorHAnsi"/>
        </w:rPr>
        <w:t xml:space="preserve"> za dopravu a instalaci Předmětu koupě a jeho uvedení do řádného chodu </w:t>
      </w:r>
      <w:r w:rsidR="001010AE">
        <w:rPr>
          <w:rFonts w:asciiTheme="minorHAnsi" w:hAnsiTheme="minorHAnsi" w:cstheme="minorHAnsi"/>
        </w:rPr>
        <w:t>odpovídá po věcné a technické stránce Prodávající,</w:t>
      </w:r>
    </w:p>
    <w:p w14:paraId="338B7409" w14:textId="74665240" w:rsidR="007644C8" w:rsidRDefault="007644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 </w:t>
      </w:r>
      <w:r w:rsidR="0069665F">
        <w:rPr>
          <w:rFonts w:asciiTheme="minorHAnsi" w:hAnsiTheme="minorHAnsi" w:cstheme="minorHAnsi"/>
        </w:rPr>
        <w:t xml:space="preserve">nezbytné </w:t>
      </w:r>
      <w:r>
        <w:rPr>
          <w:rFonts w:asciiTheme="minorHAnsi" w:hAnsiTheme="minorHAnsi" w:cstheme="minorHAnsi"/>
        </w:rPr>
        <w:t>doklady prokazující kvalitu, návody k použití v českém jazyce, schválení pro užívání v EU a ČR (atesty, certifikáty, prohlášení o shodě v souladu s platnou legislativou),</w:t>
      </w:r>
    </w:p>
    <w:p w14:paraId="0FB16EB9" w14:textId="77777777" w:rsidR="00C71893" w:rsidRDefault="00C71893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zaškolí obsluhu a vystaví potvrzení o tomto zaškolení, </w:t>
      </w:r>
    </w:p>
    <w:p w14:paraId="2BEF3FCD" w14:textId="0888BAAC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náhradních dílů) po dobu minim</w:t>
      </w:r>
      <w:r w:rsidR="00FC7459">
        <w:rPr>
          <w:rFonts w:asciiTheme="minorHAnsi" w:hAnsiTheme="minorHAnsi" w:cstheme="minorHAnsi"/>
        </w:rPr>
        <w:t>álně 24 měsíců dle této Smlouvy</w:t>
      </w:r>
      <w:r w:rsidR="00305828">
        <w:rPr>
          <w:rFonts w:asciiTheme="minorHAnsi" w:hAnsiTheme="minorHAnsi" w:cstheme="minorHAnsi"/>
        </w:rPr>
        <w:t xml:space="preserve"> a na dodaný server RACK bude poskytovat z</w:t>
      </w:r>
      <w:r w:rsidR="00305828" w:rsidRPr="00CE04DB">
        <w:rPr>
          <w:rFonts w:asciiTheme="minorHAnsi" w:hAnsiTheme="minorHAnsi" w:cstheme="minorHAnsi"/>
        </w:rPr>
        <w:t>áru</w:t>
      </w:r>
      <w:r w:rsidR="00305828">
        <w:rPr>
          <w:rFonts w:asciiTheme="minorHAnsi" w:hAnsiTheme="minorHAnsi" w:cstheme="minorHAnsi"/>
        </w:rPr>
        <w:t>ční servis typu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>„</w:t>
      </w:r>
      <w:r w:rsidR="00305828" w:rsidRPr="00CE04DB">
        <w:rPr>
          <w:rFonts w:asciiTheme="minorHAnsi" w:hAnsiTheme="minorHAnsi" w:cstheme="minorHAnsi"/>
        </w:rPr>
        <w:t xml:space="preserve">4 hodiny </w:t>
      </w:r>
      <w:proofErr w:type="spellStart"/>
      <w:r w:rsidR="00305828" w:rsidRPr="00CE04DB">
        <w:rPr>
          <w:rFonts w:asciiTheme="minorHAnsi" w:hAnsiTheme="minorHAnsi" w:cstheme="minorHAnsi"/>
        </w:rPr>
        <w:t>Mission</w:t>
      </w:r>
      <w:proofErr w:type="spellEnd"/>
      <w:r w:rsidR="00305828" w:rsidRPr="00CE04DB">
        <w:rPr>
          <w:rFonts w:asciiTheme="minorHAnsi" w:hAnsiTheme="minorHAnsi" w:cstheme="minorHAnsi"/>
        </w:rPr>
        <w:t xml:space="preserve"> </w:t>
      </w:r>
      <w:proofErr w:type="spellStart"/>
      <w:r w:rsidR="00305828" w:rsidRPr="00CE04DB">
        <w:rPr>
          <w:rFonts w:asciiTheme="minorHAnsi" w:hAnsiTheme="minorHAnsi" w:cstheme="minorHAnsi"/>
        </w:rPr>
        <w:t>Critical</w:t>
      </w:r>
      <w:proofErr w:type="spellEnd"/>
      <w:r w:rsidR="00305828">
        <w:rPr>
          <w:rFonts w:asciiTheme="minorHAnsi" w:hAnsiTheme="minorHAnsi" w:cstheme="minorHAnsi"/>
        </w:rPr>
        <w:t>“, a to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 xml:space="preserve">po dobu stanovenou v nabídce Prodávajícího, </w:t>
      </w:r>
      <w:r w:rsidR="00305828" w:rsidRPr="00CE04DB">
        <w:rPr>
          <w:rFonts w:asciiTheme="minorHAnsi" w:hAnsiTheme="minorHAnsi" w:cstheme="minorHAnsi"/>
        </w:rPr>
        <w:t xml:space="preserve">minimálně </w:t>
      </w:r>
      <w:r w:rsidR="00305828">
        <w:rPr>
          <w:rFonts w:asciiTheme="minorHAnsi" w:hAnsiTheme="minorHAnsi" w:cstheme="minorHAnsi"/>
        </w:rPr>
        <w:t>však po dobu</w:t>
      </w:r>
      <w:r w:rsidR="00305828" w:rsidRPr="00CE04DB">
        <w:rPr>
          <w:rFonts w:asciiTheme="minorHAnsi" w:hAnsiTheme="minorHAnsi" w:cstheme="minorHAnsi"/>
        </w:rPr>
        <w:t xml:space="preserve"> 3</w:t>
      </w:r>
      <w:r w:rsidR="00305828">
        <w:rPr>
          <w:rFonts w:asciiTheme="minorHAnsi" w:hAnsiTheme="minorHAnsi" w:cstheme="minorHAnsi"/>
        </w:rPr>
        <w:t>6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>měsíců.</w:t>
      </w:r>
    </w:p>
    <w:p w14:paraId="5950BEF3" w14:textId="35F49E5A" w:rsidR="00305C0C" w:rsidRPr="00B77234" w:rsidRDefault="00857102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F4ABC">
        <w:rPr>
          <w:rFonts w:asciiTheme="minorHAnsi" w:hAnsiTheme="minorHAnsi" w:cstheme="minorHAnsi"/>
          <w:sz w:val="22"/>
          <w:szCs w:val="22"/>
        </w:rPr>
        <w:t>Nad rámec plnění této Smlouvy se Prodávající zavazuje, že bude za jím standardně poskytovaných podmínek</w:t>
      </w:r>
      <w:r w:rsidR="00B73432" w:rsidRPr="00CF4ABC">
        <w:rPr>
          <w:rFonts w:asciiTheme="minorHAnsi" w:hAnsiTheme="minorHAnsi" w:cstheme="minorHAnsi"/>
          <w:sz w:val="22"/>
          <w:szCs w:val="22"/>
        </w:rPr>
        <w:t xml:space="preserve"> v případě požadavku Kupujícího</w:t>
      </w:r>
      <w:r w:rsidRPr="00CF4ABC">
        <w:rPr>
          <w:rFonts w:asciiTheme="minorHAnsi" w:hAnsiTheme="minorHAnsi" w:cstheme="minorHAnsi"/>
          <w:sz w:val="22"/>
          <w:szCs w:val="22"/>
        </w:rPr>
        <w:t xml:space="preserve"> realizovat pozáruční servis Předmětu koupě v místě plnění Zakázky.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3F022215" w:rsidR="00753C2E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4FE245C3" w14:textId="43E65220" w:rsidR="00CF4ABC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75E95FE0" w14:textId="0083027D" w:rsidR="00CF4ABC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3D032477" w14:textId="77777777" w:rsidR="00CF4ABC" w:rsidRPr="007718A7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proofErr w:type="gramStart"/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proofErr w:type="gramEnd"/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proofErr w:type="gramStart"/>
      <w:r w:rsidRPr="007718A7">
        <w:rPr>
          <w:rFonts w:asciiTheme="minorHAnsi" w:hAnsiTheme="minorHAnsi" w:cstheme="minorHAnsi"/>
          <w:sz w:val="22"/>
          <w:szCs w:val="22"/>
        </w:rPr>
        <w:t>],-</w:t>
      </w:r>
      <w:proofErr w:type="gramEnd"/>
      <w:r w:rsidRPr="007718A7">
        <w:rPr>
          <w:rFonts w:asciiTheme="minorHAnsi" w:hAnsiTheme="minorHAnsi" w:cstheme="minorHAnsi"/>
          <w:sz w:val="22"/>
          <w:szCs w:val="22"/>
        </w:rPr>
        <w:t xml:space="preserve">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proofErr w:type="gramStart"/>
      <w:r w:rsidR="009861EB" w:rsidRPr="007718A7">
        <w:rPr>
          <w:rFonts w:asciiTheme="minorHAnsi" w:hAnsiTheme="minorHAnsi" w:cstheme="minorHAnsi"/>
          <w:sz w:val="22"/>
          <w:szCs w:val="22"/>
        </w:rPr>
        <w:t>],-</w:t>
      </w:r>
      <w:proofErr w:type="gramEnd"/>
      <w:r w:rsidR="009861EB" w:rsidRPr="007718A7">
        <w:rPr>
          <w:rFonts w:asciiTheme="minorHAnsi" w:hAnsiTheme="minorHAnsi" w:cstheme="minorHAnsi"/>
          <w:sz w:val="22"/>
          <w:szCs w:val="22"/>
        </w:rPr>
        <w:t xml:space="preserve">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proofErr w:type="gramStart"/>
      <w:r w:rsidRPr="007718A7">
        <w:rPr>
          <w:rFonts w:asciiTheme="minorHAnsi" w:hAnsiTheme="minorHAnsi" w:cstheme="minorHAnsi"/>
          <w:sz w:val="22"/>
          <w:szCs w:val="22"/>
        </w:rPr>
        <w:t>],-</w:t>
      </w:r>
      <w:proofErr w:type="gramEnd"/>
      <w:r w:rsidRPr="007718A7">
        <w:rPr>
          <w:rFonts w:asciiTheme="minorHAnsi" w:hAnsiTheme="minorHAnsi" w:cstheme="minorHAnsi"/>
          <w:sz w:val="22"/>
          <w:szCs w:val="22"/>
        </w:rPr>
        <w:t xml:space="preserve"> Kč </w:t>
      </w:r>
    </w:p>
    <w:p w14:paraId="1CE84714" w14:textId="704FEF6A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na </w:t>
      </w:r>
      <w:proofErr w:type="gramStart"/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základě</w:t>
      </w:r>
      <w:proofErr w:type="gramEnd"/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jsou specifikované v Příloze č. 2 Smlouvy „Cenová specifikace“.</w:t>
      </w:r>
    </w:p>
    <w:p w14:paraId="02BAECC0" w14:textId="35327F1A" w:rsidR="00C0001C" w:rsidRPr="007718A7" w:rsidRDefault="00B73432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Celková cena i ceny jednotlivých položek jsou pro daný rozsah plnění maximální a 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uvedené Prodávajícím v cenové specifikaci (Příloha č. 2 Smlouvy) se mohou zvýšit jen v případě, že dojde ke změně daňových předpisů, které budou mít prokazatelný vliv na výši jednotkových cen, a to 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4EB96D23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1EE9398D" w:rsidR="00662297" w:rsidRPr="00CF4ABC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CF4ABC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 w:rsidRPr="00CF4ABC">
        <w:rPr>
          <w:rFonts w:asciiTheme="minorHAnsi" w:hAnsiTheme="minorHAnsi" w:cstheme="minorHAnsi"/>
          <w:b w:val="0"/>
          <w:sz w:val="22"/>
          <w:szCs w:val="22"/>
        </w:rPr>
        <w:t>y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 bude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 xml:space="preserve"> rozdělena tak, že 50 % Kupní ceny bude splatných do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 30 kalendář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CF4ABC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rodávajícího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 xml:space="preserve"> a dalších 50 % Kupní ceny bude splatných do 90 dnů ode dne, kdy Kupující obdržel </w:t>
      </w:r>
      <w:r w:rsidR="008577C8" w:rsidRPr="00CF4ABC">
        <w:rPr>
          <w:rFonts w:asciiTheme="minorHAnsi" w:hAnsiTheme="minorHAnsi" w:cstheme="minorHAnsi"/>
          <w:b w:val="0"/>
          <w:sz w:val="22"/>
          <w:szCs w:val="22"/>
        </w:rPr>
        <w:t>f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>akturu od Prodávajícího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3477AF7" w14:textId="59CE29B5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</w:t>
      </w:r>
      <w:r w:rsidR="001F43C1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DPH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47B3F8EF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 splatnosti</w:t>
      </w:r>
      <w:r w:rsidR="00B73432">
        <w:rPr>
          <w:rFonts w:asciiTheme="minorHAnsi" w:eastAsiaTheme="minorHAnsi" w:hAnsiTheme="minorHAnsi" w:cstheme="minorHAnsi"/>
        </w:rPr>
        <w:t xml:space="preserve"> v souladu s odst. 3.2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</w:t>
      </w:r>
      <w:proofErr w:type="gramStart"/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přeruší</w:t>
      </w:r>
      <w:proofErr w:type="gramEnd"/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plynutí lhůty splatnosti, 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118E0FAF" w:rsidR="00126C59" w:rsidRPr="00D70946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838D678" w14:textId="588E7E5A" w:rsidR="008200A7" w:rsidRDefault="008200A7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2DE95F3F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661DCD56" w14:textId="0026B00E" w:rsid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dopravit Kupujícímu Předmět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do místa plnění Zakázky uvedeného v odst. 4.3 Smlouvy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na základě výzvy Kupujícího k plnění Předmětu koupě (dále jen „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Výzva</w:t>
      </w:r>
      <w:r w:rsidR="00CD7EF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 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plnění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“). </w:t>
      </w:r>
    </w:p>
    <w:p w14:paraId="7B74D180" w14:textId="7EF205BA" w:rsidR="008200A7" w:rsidRP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Kupující odešle Prodávajícímu na e-mailovou adresu [</w:t>
      </w:r>
      <w:r w:rsidRPr="008200A7">
        <w:rPr>
          <w:rFonts w:asciiTheme="minorHAnsi" w:hAnsiTheme="minorHAnsi" w:cstheme="minorHAnsi"/>
          <w:color w:val="auto"/>
          <w:sz w:val="22"/>
          <w:szCs w:val="22"/>
          <w:highlight w:val="cyan"/>
        </w:rPr>
        <w:t>doplní dodavatel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] Výzvu k plnění s uvedením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Kupující se zavazuje odeslat Prodávajícímu V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ýzvu k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alespoň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>2 týdny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 xml:space="preserve"> před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počátkem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</w:t>
      </w:r>
    </w:p>
    <w:p w14:paraId="42A725A8" w14:textId="6C62079E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který </w:t>
      </w:r>
      <w:r w:rsidR="00E355C2" w:rsidRPr="003F013E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="00E355C2" w:rsidRPr="00CF4ABC">
        <w:rPr>
          <w:rFonts w:asciiTheme="minorHAnsi" w:hAnsiTheme="minorHAnsi" w:cstheme="minorHAnsi"/>
          <w:color w:val="auto"/>
          <w:sz w:val="22"/>
          <w:szCs w:val="22"/>
        </w:rPr>
        <w:t>ke dni uzavření této Smlouvy ve výstavbě na pozemcích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B77234" w:rsidRPr="00B77234">
        <w:rPr>
          <w:rFonts w:asciiTheme="minorHAnsi" w:hAnsiTheme="minorHAnsi"/>
          <w:color w:val="auto"/>
          <w:sz w:val="22"/>
          <w:szCs w:val="22"/>
        </w:rPr>
        <w:t>č.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E355C2">
        <w:rPr>
          <w:rFonts w:asciiTheme="minorHAnsi" w:hAnsiTheme="minorHAnsi" w:cstheme="minorHAnsi"/>
          <w:color w:val="auto"/>
          <w:sz w:val="22"/>
          <w:szCs w:val="22"/>
        </w:rPr>
        <w:t>ú.</w:t>
      </w:r>
      <w:proofErr w:type="spellEnd"/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 Lomnice nad Popelkou</w:t>
      </w:r>
      <w:r w:rsidR="00F9538F" w:rsidRPr="00F9538F">
        <w:rPr>
          <w:rFonts w:asciiTheme="minorHAnsi" w:hAnsiTheme="minorHAnsi" w:cstheme="minorHAnsi"/>
          <w:color w:val="auto"/>
          <w:sz w:val="22"/>
          <w:szCs w:val="22"/>
        </w:rPr>
        <w:t xml:space="preserve">, a to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v termínu dopravení uvedeného ve Výzvě k plnění dle odst. 4.2 Smlouvy. </w:t>
      </w:r>
    </w:p>
    <w:p w14:paraId="09001D2B" w14:textId="50C1B85D" w:rsidR="00C0001C" w:rsidRDefault="008E212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je povinen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zaslat Kupujícímu na e-mailovou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adre</w:t>
      </w:r>
      <w:r w:rsidRPr="005E5F10">
        <w:rPr>
          <w:rFonts w:asciiTheme="minorHAnsi" w:hAnsiTheme="minorHAnsi" w:cstheme="minorHAnsi"/>
          <w:color w:val="auto"/>
          <w:sz w:val="22"/>
          <w:szCs w:val="22"/>
        </w:rPr>
        <w:t>su:</w:t>
      </w:r>
      <w:r w:rsidR="005E5F10" w:rsidRPr="005E5F10">
        <w:rPr>
          <w:color w:val="auto"/>
          <w:sz w:val="22"/>
          <w:szCs w:val="22"/>
        </w:rPr>
        <w:t xml:space="preserve"> </w:t>
      </w:r>
      <w:hyperlink r:id="rId11" w:history="1">
        <w:r w:rsidR="005E5F10" w:rsidRPr="00EE5768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penicka@ppcg.cz</w:t>
        </w:r>
      </w:hyperlink>
      <w:r w:rsidR="005E5F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oznámení o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připravenosti </w:t>
      </w:r>
      <w:r w:rsidR="000F3787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expedici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, vč. uvedení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konkrétního termínu a</w:t>
      </w:r>
      <w:r w:rsidR="00301427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času dopravení na adresu místa plnění </w:t>
      </w:r>
      <w:r w:rsidR="005A6A24">
        <w:rPr>
          <w:rFonts w:asciiTheme="minorHAnsi" w:hAnsiTheme="minorHAnsi" w:cstheme="minorHAnsi"/>
          <w:color w:val="auto"/>
          <w:sz w:val="22"/>
          <w:szCs w:val="22"/>
        </w:rPr>
        <w:t>Zakázky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uvedeného v odst.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4.3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76A" w:rsidRPr="007718A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a to alespoň 3 pracovní dny předem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08A5C202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1 týdne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dopravení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do mís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 xml:space="preserve">ta plnění, nejpozději však do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týdnů od obdržení Výzvy k plnění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317E85C" w14:textId="77777777" w:rsidR="003F1CAE" w:rsidRDefault="003F1CAE" w:rsidP="003F1CAE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provést instalaci Předmětu koupě a uvést jej do řádného chodu a zároveň</w:t>
      </w:r>
    </w:p>
    <w:p w14:paraId="6709B175" w14:textId="2A50718B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souladu s odst. 1.2 Smlouvy a zároveň</w:t>
      </w:r>
    </w:p>
    <w:p w14:paraId="41116822" w14:textId="60235FEA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zaškolit obsluhu Předmětu koupě a vystavit potvrzení o tomto zaškolení.  </w:t>
      </w:r>
    </w:p>
    <w:p w14:paraId="09B92853" w14:textId="6A2727A2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lnění odst.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 xml:space="preserve">4.3. a 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>4.5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2666A1B9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nedodaných částí Předmětu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3BE80B77" w:rsidR="007579F7" w:rsidRDefault="008577C8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datum předání Předmětu koupě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, dokladů, instalace a zaškolení,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461CE99B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podepíší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chybět, vykazovat zjevné vady nebo poškození či nebude splňovat odst. 4.5 Smlouvy. 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Ve vztahu k případným vadám a nedodělkům budou v Dodacím listu uvedeny závazné lhůty pro jejich odstranění.</w:t>
      </w:r>
    </w:p>
    <w:p w14:paraId="1BFA179B" w14:textId="277D0D41" w:rsidR="002D2095" w:rsidRDefault="002D2095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Nejzazší </w:t>
      </w:r>
      <w:r w:rsidR="003F1CAE">
        <w:rPr>
          <w:rFonts w:asciiTheme="minorHAnsi" w:hAnsiTheme="minorHAnsi" w:cstheme="minorHAnsi"/>
          <w:color w:val="auto"/>
          <w:sz w:val="22"/>
          <w:szCs w:val="22"/>
        </w:rPr>
        <w:t xml:space="preserve">předpokládaný </w:t>
      </w:r>
      <w:r>
        <w:rPr>
          <w:rFonts w:asciiTheme="minorHAnsi" w:hAnsiTheme="minorHAnsi" w:cstheme="minorHAnsi"/>
          <w:color w:val="auto"/>
          <w:sz w:val="22"/>
          <w:szCs w:val="22"/>
        </w:rPr>
        <w:t>termín realizace Předmětu plnění</w:t>
      </w:r>
      <w:r w:rsidR="002E382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tj. splnění odst. 4.5 této Smlouvy</w:t>
      </w:r>
      <w:r w:rsidR="00633D05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je </w:t>
      </w:r>
      <w:r w:rsidR="00EF6E88" w:rsidRPr="00CF4ABC">
        <w:rPr>
          <w:rFonts w:asciiTheme="minorHAnsi" w:hAnsiTheme="minorHAnsi" w:cstheme="minorHAnsi"/>
          <w:color w:val="auto"/>
          <w:sz w:val="22"/>
          <w:szCs w:val="22"/>
        </w:rPr>
        <w:t>31. 5. 2023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4FDB7B4" w14:textId="509C7C65" w:rsidR="00C0001C" w:rsidRDefault="00B74426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BD4F7B">
        <w:rPr>
          <w:rFonts w:asciiTheme="minorHAnsi" w:hAnsiTheme="minorHAnsi" w:cstheme="minorHAnsi"/>
          <w:color w:val="auto"/>
          <w:sz w:val="22"/>
          <w:szCs w:val="22"/>
        </w:rPr>
        <w:t>s dopravením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 Předmětu koupě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dle odst. 4.3 Smlouvy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, je povinen zaplatit Kupujícímu smluvní pokutu ve výši 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 xml:space="preserve">0,3 % z celkové Kupní ceny Předmětu koupě, a to za každý den prodlení. </w:t>
      </w:r>
      <w:r w:rsidR="004F23BC">
        <w:rPr>
          <w:rFonts w:asciiTheme="minorHAnsi" w:hAnsiTheme="minorHAnsi" w:cstheme="minorHAnsi"/>
          <w:color w:val="auto"/>
          <w:sz w:val="22"/>
          <w:szCs w:val="22"/>
        </w:rPr>
        <w:t xml:space="preserve">Tím není dotčeno právo Kupujícího na náhradu újmy a náhradu nákladů vynaložených na uplatnění svého práva. </w:t>
      </w:r>
    </w:p>
    <w:p w14:paraId="671A73D0" w14:textId="7807C68E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se splněním odst. 4.5 Smlouvy, je povinen zaplatit Kupujícímu smluvní pokutu ve výši 0,3 % z celkové Kupní ceny Předmětu koupě, a to za každý den prodlení. Tím není dotčeno právo Kupujícího na náhradu újmy a náhradu nákladů vynaložených na uplatnění svého práva. </w:t>
      </w:r>
    </w:p>
    <w:p w14:paraId="0A8D107A" w14:textId="4148FA72" w:rsidR="00F06159" w:rsidRPr="007C58FD" w:rsidRDefault="00F06159" w:rsidP="00F06159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 odstraněním některé vady či nedodělku uvedených v Dodacím listu, je povinen zaplatit Kupujícímu smluvní pokutu ve výši 0,3 % z ceny vadné či nedodané části Předmětu koupě, a to za každý den prodl</w:t>
      </w:r>
      <w:r w:rsidR="00E56035">
        <w:rPr>
          <w:rFonts w:asciiTheme="minorHAnsi" w:hAnsiTheme="minorHAnsi" w:cstheme="minorHAnsi"/>
          <w:color w:val="auto"/>
          <w:sz w:val="22"/>
          <w:szCs w:val="22"/>
        </w:rPr>
        <w:t>ení</w:t>
      </w:r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B7CE33D" w14:textId="0E63381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6B04FA" w14:textId="77777777" w:rsidR="00D70946" w:rsidRPr="007718A7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 xml:space="preserve">upujícího z vadného plnění se řídí zejména </w:t>
      </w:r>
      <w:proofErr w:type="spellStart"/>
      <w:r w:rsidRPr="003A51A3">
        <w:t>ust</w:t>
      </w:r>
      <w:proofErr w:type="spellEnd"/>
      <w:r w:rsidRPr="003A51A3">
        <w:t>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3962B468" w14:textId="7C3FD65C" w:rsidR="003F013E" w:rsidRDefault="003F013E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 xml:space="preserve">záruka „4 hodiny </w:t>
      </w:r>
      <w:proofErr w:type="spellStart"/>
      <w:r>
        <w:t>Mission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>“ na dodaný server RACK, a to po dobu nabídnutou Prodávajícím v jeho nabídce, minimálně však po dobu 36 měsíců ode dne podpisu Dodacího listu dle čl. IV Smlouvy,</w:t>
      </w:r>
    </w:p>
    <w:p w14:paraId="43B2AFE4" w14:textId="52CB91AB" w:rsidR="00F47BEB" w:rsidRDefault="003F013E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 xml:space="preserve">na zbylou část dodávek hardware </w:t>
      </w:r>
      <w:r w:rsidR="000873F1" w:rsidRPr="00F47BEB">
        <w:t xml:space="preserve">záruční doba </w:t>
      </w:r>
      <w:r w:rsidR="00F47BEB">
        <w:t>činí 24 měsíců ode dne po</w:t>
      </w:r>
      <w:r w:rsidR="00AE1EBF">
        <w:t>dpisu Dodacího listu dle čl. IV</w:t>
      </w:r>
      <w:r w:rsidR="00F47BEB">
        <w:t xml:space="preserve"> Smlouvy</w:t>
      </w:r>
      <w:r w:rsidR="0055481C">
        <w:t>,</w:t>
      </w:r>
      <w:r w:rsidR="000873F1" w:rsidRPr="00F47BEB">
        <w:t xml:space="preserve"> tj. že po tuto dobu bude </w:t>
      </w:r>
      <w:r w:rsidR="00F47BEB">
        <w:t>Předmět koupě způsobilý</w:t>
      </w:r>
      <w:r w:rsidR="000873F1" w:rsidRPr="00F47BEB">
        <w:t xml:space="preserve"> k užívání a zachová si smluvené, resp. obvyklé vlastnosti, 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68D27E2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 xml:space="preserve">vis </w:t>
      </w:r>
      <w:r w:rsidR="003F013E">
        <w:t xml:space="preserve">„4 hodiny </w:t>
      </w:r>
      <w:proofErr w:type="spellStart"/>
      <w:r w:rsidR="003F013E">
        <w:t>Mission</w:t>
      </w:r>
      <w:proofErr w:type="spellEnd"/>
      <w:r w:rsidR="003F013E">
        <w:t xml:space="preserve"> </w:t>
      </w:r>
      <w:proofErr w:type="spellStart"/>
      <w:r w:rsidR="003F013E">
        <w:t>Critical</w:t>
      </w:r>
      <w:proofErr w:type="spellEnd"/>
      <w:r w:rsidR="003F013E">
        <w:t xml:space="preserve">“ </w:t>
      </w:r>
      <w:r w:rsidR="00F47BEB">
        <w:t>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</w:t>
      </w:r>
      <w:r w:rsidRPr="00F47BEB">
        <w:t>,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 xml:space="preserve">nění </w:t>
      </w:r>
      <w:proofErr w:type="gramStart"/>
      <w:r w:rsidR="00FF5EE3">
        <w:t>neběží</w:t>
      </w:r>
      <w:proofErr w:type="gramEnd"/>
      <w:r w:rsidR="00FF5EE3">
        <w:t xml:space="preserve">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03D3481E" w14:textId="428FB1E9" w:rsidR="004F23BC" w:rsidRDefault="004F23BC" w:rsidP="004F23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</w:t>
      </w:r>
      <w:proofErr w:type="gramStart"/>
      <w:r>
        <w:t>nedodrží</w:t>
      </w:r>
      <w:proofErr w:type="gramEnd"/>
      <w:r>
        <w:t xml:space="preserve">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2D9158A8" w14:textId="2E5AF2D4" w:rsidR="00FD6175" w:rsidRPr="00CF4ABC" w:rsidRDefault="000873F1" w:rsidP="00CF4A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E240B">
        <w:t>Prodávající</w:t>
      </w:r>
      <w:r w:rsidR="00FE240B">
        <w:t xml:space="preserve"> se dále zavazuje, že poskytne K</w:t>
      </w:r>
      <w:r w:rsidRPr="00FE240B">
        <w:t xml:space="preserve">upujícímu </w:t>
      </w:r>
      <w:r w:rsidR="003F013E">
        <w:t xml:space="preserve">na vyžádání </w:t>
      </w:r>
      <w:r w:rsidRPr="00FE240B">
        <w:t>pozáruční</w:t>
      </w:r>
      <w:r w:rsidR="00016A87">
        <w:t xml:space="preserve"> servis</w:t>
      </w:r>
      <w:r w:rsidR="007E0676" w:rsidRPr="00CF4ABC">
        <w:t xml:space="preserve">. </w:t>
      </w:r>
      <w:r w:rsidRPr="00FE240B">
        <w:t xml:space="preserve">Cena za tento pozáruční servis bude účtována podle </w:t>
      </w:r>
      <w:r w:rsidR="001F08AF">
        <w:t xml:space="preserve">standardního </w:t>
      </w:r>
      <w:r w:rsidRPr="00FE240B">
        <w:t>ceníku náhr</w:t>
      </w:r>
      <w:r w:rsidR="00FE240B">
        <w:t>adních dílů a servisních prací P</w:t>
      </w:r>
      <w:r w:rsidRPr="00FE240B">
        <w:t>rodávajícího</w:t>
      </w:r>
      <w:r w:rsidR="001F08AF">
        <w:t>,</w:t>
      </w:r>
      <w:r w:rsidRPr="00FE240B">
        <w:t xml:space="preserve"> platného </w:t>
      </w:r>
      <w:r w:rsidR="001F08AF">
        <w:t xml:space="preserve">pro všechny zákazníky </w:t>
      </w:r>
      <w:r w:rsidRPr="00FE240B">
        <w:t xml:space="preserve">v den </w:t>
      </w:r>
      <w:r w:rsidR="00FF105D">
        <w:t>realizace pozáručního servisu</w:t>
      </w:r>
      <w:r w:rsidRPr="00FE240B">
        <w:t xml:space="preserve">, pokud nebude ujednáno jinak v samostatné smlouvě. </w:t>
      </w: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30E9DCB8" w:rsidR="00C0001C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této Smlouvy Prodávající výslovně přejímá nebezpečí změny okolností ve smyslu </w:t>
      </w:r>
      <w:proofErr w:type="spellStart"/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ust</w:t>
      </w:r>
      <w:proofErr w:type="spellEnd"/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. § 1765 odst. 2 občanského zákoníku.</w:t>
      </w:r>
    </w:p>
    <w:p w14:paraId="16C550BE" w14:textId="3E8921EF" w:rsidR="00477913" w:rsidRPr="00CF4ABC" w:rsidRDefault="00477913" w:rsidP="00477913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CF4AB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Prodávající je povinen ve </w:t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vztahu k dodanému proprietárnímu software zajistit Kupujícímu veškerá potřebná licenční oprávnění na celou dobu užívání tohoto software, která Kupujícímu zajistí jak jeho užívání, tak i instalaci jednotlivých upgrade a oprav zpřístupněných jeho výrobcem.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51C06C83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déle než </w:t>
      </w:r>
      <w:r w:rsidR="000F4AE3" w:rsidRPr="007718A7">
        <w:rPr>
          <w:rFonts w:asciiTheme="minorHAnsi" w:hAnsiTheme="minorHAnsi" w:cstheme="minorHAnsi"/>
          <w:sz w:val="22"/>
          <w:szCs w:val="22"/>
        </w:rPr>
        <w:t>3</w:t>
      </w:r>
      <w:r w:rsidRPr="007718A7">
        <w:rPr>
          <w:rFonts w:asciiTheme="minorHAnsi" w:hAnsiTheme="minorHAnsi" w:cstheme="minorHAnsi"/>
          <w:sz w:val="22"/>
          <w:szCs w:val="22"/>
        </w:rPr>
        <w:t>0 dní v prodlení s 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dopravením </w:t>
      </w:r>
      <w:r w:rsidR="000C571D">
        <w:rPr>
          <w:rFonts w:asciiTheme="minorHAnsi" w:hAnsiTheme="minorHAnsi" w:cstheme="minorHAnsi"/>
          <w:sz w:val="22"/>
          <w:szCs w:val="22"/>
        </w:rPr>
        <w:t>Předmětu koupě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na</w:t>
      </w:r>
      <w:r w:rsidR="000C571D">
        <w:rPr>
          <w:rFonts w:asciiTheme="minorHAnsi" w:hAnsiTheme="minorHAnsi" w:cstheme="minorHAnsi"/>
          <w:sz w:val="22"/>
          <w:szCs w:val="22"/>
        </w:rPr>
        <w:t xml:space="preserve"> </w:t>
      </w:r>
      <w:r w:rsidR="00D051A2">
        <w:rPr>
          <w:rFonts w:asciiTheme="minorHAnsi" w:hAnsiTheme="minorHAnsi" w:cstheme="minorHAnsi"/>
          <w:sz w:val="22"/>
          <w:szCs w:val="22"/>
        </w:rPr>
        <w:t>místo plnění dle čl. 4.3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nebo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D051A2">
        <w:rPr>
          <w:rFonts w:asciiTheme="minorHAnsi" w:hAnsiTheme="minorHAnsi" w:cstheme="minorHAnsi"/>
          <w:sz w:val="22"/>
          <w:szCs w:val="22"/>
        </w:rPr>
        <w:t>e splněním odst. 4.5 Smlouvy,</w:t>
      </w:r>
    </w:p>
    <w:p w14:paraId="2A2E622B" w14:textId="7A1322EC" w:rsidR="00390C85" w:rsidRPr="007718A7" w:rsidRDefault="00D051A2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390C85" w:rsidRPr="007718A7">
        <w:rPr>
          <w:rFonts w:asciiTheme="minorHAnsi" w:hAnsiTheme="minorHAnsi" w:cstheme="minorHAnsi"/>
          <w:sz w:val="22"/>
          <w:szCs w:val="22"/>
        </w:rPr>
        <w:t xml:space="preserve"> po </w:t>
      </w:r>
      <w:r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7718A7">
        <w:rPr>
          <w:rFonts w:asciiTheme="minorHAnsi" w:hAnsiTheme="minorHAnsi" w:cstheme="minorHAnsi"/>
          <w:sz w:val="22"/>
          <w:szCs w:val="22"/>
        </w:rPr>
        <w:t>nesplňuje stanoven</w:t>
      </w:r>
      <w:r w:rsidR="00CF3448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21D63901" w14:textId="44AB4E28" w:rsidR="00C0001C" w:rsidRPr="00CF4ABC" w:rsidRDefault="00C0001C" w:rsidP="00CF4ABC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oprávněn vedle zákonem stanovených případů od </w:t>
      </w:r>
      <w:r w:rsidR="00CF4ABC">
        <w:rPr>
          <w:rFonts w:asciiTheme="minorHAnsi" w:hAnsiTheme="minorHAnsi" w:cstheme="minorHAnsi"/>
          <w:sz w:val="22"/>
          <w:szCs w:val="22"/>
        </w:rPr>
        <w:t xml:space="preserve">Smlouvy odstoupit v případě, že </w:t>
      </w:r>
      <w:r w:rsidRPr="00CF4ABC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 w:rsidRPr="00CF4ABC">
        <w:rPr>
          <w:rFonts w:asciiTheme="minorHAnsi" w:hAnsiTheme="minorHAnsi" w:cstheme="minorHAnsi"/>
          <w:sz w:val="22"/>
          <w:szCs w:val="22"/>
        </w:rPr>
        <w:t>Kupní ceny</w:t>
      </w:r>
      <w:r w:rsidRPr="00CF4ABC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 w:rsidRPr="00CF4ABC">
        <w:rPr>
          <w:rFonts w:asciiTheme="minorHAnsi" w:hAnsiTheme="minorHAnsi" w:cstheme="minorHAnsi"/>
          <w:sz w:val="22"/>
          <w:szCs w:val="22"/>
        </w:rPr>
        <w:t>, ačkoli byl na toto prodlení Prodávajícím písmeně upozorněn</w:t>
      </w:r>
      <w:r w:rsidR="00CF3448" w:rsidRPr="00CF4ABC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Prodávající povinen Kupujícímu uhradit skladné ve výši </w:t>
      </w:r>
      <w:proofErr w:type="gramStart"/>
      <w:r w:rsidRPr="007718A7">
        <w:rPr>
          <w:rFonts w:asciiTheme="minorHAnsi" w:hAnsiTheme="minorHAnsi" w:cstheme="minorHAnsi"/>
          <w:sz w:val="22"/>
          <w:szCs w:val="22"/>
        </w:rPr>
        <w:t>2.000,-</w:t>
      </w:r>
      <w:proofErr w:type="gramEnd"/>
      <w:r w:rsidRPr="007718A7">
        <w:rPr>
          <w:rFonts w:asciiTheme="minorHAnsi" w:hAnsiTheme="minorHAnsi" w:cstheme="minorHAnsi"/>
          <w:sz w:val="22"/>
          <w:szCs w:val="22"/>
        </w:rPr>
        <w:t xml:space="preserve">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22691D4" w14:textId="00B0C509" w:rsidR="00BC6CB5" w:rsidRPr="00E56035" w:rsidRDefault="00CF3448" w:rsidP="00BC6CB5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 w:rsidRPr="00E56035">
        <w:rPr>
          <w:rFonts w:asciiTheme="minorHAnsi" w:hAnsiTheme="minorHAnsi" w:cstheme="minorHAnsi"/>
        </w:rPr>
        <w:t>Předmětu koupě, které jej činí nepoužitelným k účelu vyplývajícímu ze Smlouvy</w:t>
      </w:r>
      <w:r w:rsidR="00477913">
        <w:rPr>
          <w:rFonts w:asciiTheme="minorHAnsi" w:hAnsiTheme="minorHAnsi" w:cstheme="minorHAnsi"/>
        </w:rPr>
        <w:t>.</w:t>
      </w:r>
    </w:p>
    <w:p w14:paraId="4668259C" w14:textId="4802A0C8" w:rsidR="001F08AF" w:rsidRDefault="001F08AF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27DF04A1" w14:textId="00E4E80A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68A66DD8" w14:textId="34D42A96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4A728A0B" w14:textId="3AEC3637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12E8B4B3" w14:textId="5423EC13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01248287" w14:textId="77777777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4DF21F87" w14:textId="77777777" w:rsidR="00E56035" w:rsidRDefault="00E56035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13F7607F" w14:textId="492FB60E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61867E4C" w14:textId="3305D9A6" w:rsidR="00EF1BC0" w:rsidRPr="00EF1BC0" w:rsidRDefault="00EF1BC0" w:rsidP="00EF1BC0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Prodávající je tvořen více dodavateli, kteří podávali v rámci výběrového řízení na Zakázku společnou nabídku, jsou všichni tito dodavatelé odpovědni za řádné plnění Smlouvy společně a nerozdílně. </w:t>
      </w:r>
    </w:p>
    <w:p w14:paraId="74EC5D0C" w14:textId="6C24F98D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718A7">
        <w:rPr>
          <w:rFonts w:asciiTheme="minorHAnsi" w:hAnsiTheme="minorHAnsi" w:cstheme="minorHAnsi"/>
          <w:color w:val="auto"/>
          <w:sz w:val="22"/>
          <w:szCs w:val="22"/>
        </w:rPr>
        <w:t>Nepodaří</w:t>
      </w:r>
      <w:proofErr w:type="gramEnd"/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0E0036B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edenou v 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250D6366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45F192C6" w:rsidR="00C0001C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he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75BA6F2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3174CA">
        <w:rPr>
          <w:rFonts w:asciiTheme="minorHAnsi" w:hAnsiTheme="minorHAnsi" w:cstheme="minorHAnsi"/>
          <w:color w:val="auto"/>
          <w:sz w:val="22"/>
          <w:szCs w:val="22"/>
        </w:rPr>
        <w:t xml:space="preserve"> a/nebo ve 2 stejnopisech v listinné podobě, přičemž v takovém případě každá ze Smluvních stran </w:t>
      </w:r>
      <w:proofErr w:type="gramStart"/>
      <w:r w:rsidR="003174CA">
        <w:rPr>
          <w:rFonts w:asciiTheme="minorHAnsi" w:hAnsiTheme="minorHAnsi" w:cstheme="minorHAnsi"/>
          <w:color w:val="auto"/>
          <w:sz w:val="22"/>
          <w:szCs w:val="22"/>
        </w:rPr>
        <w:t>obdrží</w:t>
      </w:r>
      <w:proofErr w:type="gramEnd"/>
      <w:r w:rsidR="003174CA">
        <w:rPr>
          <w:rFonts w:asciiTheme="minorHAnsi" w:hAnsiTheme="minorHAnsi" w:cstheme="minorHAnsi"/>
          <w:color w:val="auto"/>
          <w:sz w:val="22"/>
          <w:szCs w:val="22"/>
        </w:rPr>
        <w:t xml:space="preserve"> po jednom z nich.</w:t>
      </w:r>
    </w:p>
    <w:p w14:paraId="65E4DEB1" w14:textId="631632E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Prodávající a Kupující shodně prohlašují, že jsou způsobilí k právním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jednání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že 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jednání</w:t>
      </w:r>
      <w:r w:rsidR="0047791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Nedílnou součástí Smlouvy jsou přílohy: </w:t>
      </w:r>
    </w:p>
    <w:p w14:paraId="55550232" w14:textId="2013D731" w:rsidR="00C0001C" w:rsidRPr="007718A7" w:rsidRDefault="00417DAE" w:rsidP="007A51D2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Katalogová dokumentace předmětu koupě</w:t>
      </w:r>
    </w:p>
    <w:p w14:paraId="394223B0" w14:textId="576AC656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Příloha č. 2: Cenová specifikace</w:t>
      </w:r>
    </w:p>
    <w:p w14:paraId="2EA80ADB" w14:textId="6386F7AB" w:rsidR="00C0001C" w:rsidRDefault="00417DAE" w:rsidP="00477913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72DE294E" w:rsidR="000D5F7F" w:rsidRDefault="000D5F7F" w:rsidP="005E5F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proofErr w:type="gramEnd"/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dne 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3174CA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575268A2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Semilech dne </w:t>
            </w:r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</w:tbl>
    <w:p w14:paraId="7E3DD42B" w14:textId="2C8D31E9" w:rsidR="00EB53A0" w:rsidRPr="007718A7" w:rsidRDefault="00EB53A0" w:rsidP="00CF4AB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1F62" w14:textId="77777777" w:rsidR="00F5714D" w:rsidRDefault="00F5714D" w:rsidP="007F4D62">
      <w:r>
        <w:separator/>
      </w:r>
    </w:p>
  </w:endnote>
  <w:endnote w:type="continuationSeparator" w:id="0">
    <w:p w14:paraId="3DF158FD" w14:textId="77777777" w:rsidR="00F5714D" w:rsidRDefault="00F5714D" w:rsidP="007F4D62">
      <w:r>
        <w:continuationSeparator/>
      </w:r>
    </w:p>
  </w:endnote>
  <w:endnote w:type="continuationNotice" w:id="1">
    <w:p w14:paraId="7E478351" w14:textId="77777777" w:rsidR="00F5714D" w:rsidRDefault="00F57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0DF0" w14:textId="3A257C8C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806817">
      <w:rPr>
        <w:rStyle w:val="slostrnky"/>
        <w:rFonts w:asciiTheme="minorHAnsi" w:hAnsiTheme="minorHAnsi" w:cstheme="minorHAnsi"/>
        <w:noProof/>
        <w:sz w:val="22"/>
        <w:szCs w:val="22"/>
      </w:rPr>
      <w:t>- 1 -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0C679" w14:textId="77777777" w:rsidR="00F5714D" w:rsidRDefault="00F5714D" w:rsidP="007F4D62">
      <w:r>
        <w:separator/>
      </w:r>
    </w:p>
  </w:footnote>
  <w:footnote w:type="continuationSeparator" w:id="0">
    <w:p w14:paraId="2F2DFE70" w14:textId="77777777" w:rsidR="00F5714D" w:rsidRDefault="00F5714D" w:rsidP="007F4D62">
      <w:r>
        <w:continuationSeparator/>
      </w:r>
    </w:p>
  </w:footnote>
  <w:footnote w:type="continuationNotice" w:id="1">
    <w:p w14:paraId="59183CCE" w14:textId="77777777" w:rsidR="00F5714D" w:rsidRDefault="00F57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477913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BC4AD5"/>
    <w:multiLevelType w:val="multilevel"/>
    <w:tmpl w:val="11461EBA"/>
    <w:lvl w:ilvl="0">
      <w:start w:val="246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color w:val="auto"/>
      </w:rPr>
    </w:lvl>
  </w:abstractNum>
  <w:abstractNum w:abstractNumId="3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8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6A63A38"/>
    <w:multiLevelType w:val="hybridMultilevel"/>
    <w:tmpl w:val="5E60FC14"/>
    <w:lvl w:ilvl="0" w:tplc="EF86B218">
      <w:start w:val="5"/>
      <w:numFmt w:val="bullet"/>
      <w:lvlText w:val="-"/>
      <w:lvlJc w:val="left"/>
      <w:pPr>
        <w:ind w:left="128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5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4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266472028">
    <w:abstractNumId w:val="19"/>
  </w:num>
  <w:num w:numId="2" w16cid:durableId="936257097">
    <w:abstractNumId w:val="16"/>
  </w:num>
  <w:num w:numId="3" w16cid:durableId="1603368971">
    <w:abstractNumId w:val="4"/>
  </w:num>
  <w:num w:numId="4" w16cid:durableId="2016760526">
    <w:abstractNumId w:val="10"/>
  </w:num>
  <w:num w:numId="5" w16cid:durableId="515778741">
    <w:abstractNumId w:val="1"/>
  </w:num>
  <w:num w:numId="6" w16cid:durableId="257446063">
    <w:abstractNumId w:val="5"/>
  </w:num>
  <w:num w:numId="7" w16cid:durableId="983781519">
    <w:abstractNumId w:val="20"/>
  </w:num>
  <w:num w:numId="8" w16cid:durableId="16977123">
    <w:abstractNumId w:val="15"/>
  </w:num>
  <w:num w:numId="9" w16cid:durableId="1196314157">
    <w:abstractNumId w:val="11"/>
  </w:num>
  <w:num w:numId="10" w16cid:durableId="136799959">
    <w:abstractNumId w:val="17"/>
  </w:num>
  <w:num w:numId="11" w16cid:durableId="950433133">
    <w:abstractNumId w:val="3"/>
  </w:num>
  <w:num w:numId="12" w16cid:durableId="245962077">
    <w:abstractNumId w:val="21"/>
  </w:num>
  <w:num w:numId="13" w16cid:durableId="1395198344">
    <w:abstractNumId w:val="22"/>
  </w:num>
  <w:num w:numId="14" w16cid:durableId="1839886654">
    <w:abstractNumId w:val="0"/>
  </w:num>
  <w:num w:numId="15" w16cid:durableId="371270648">
    <w:abstractNumId w:val="9"/>
  </w:num>
  <w:num w:numId="16" w16cid:durableId="226720396">
    <w:abstractNumId w:val="14"/>
  </w:num>
  <w:num w:numId="17" w16cid:durableId="1466389577">
    <w:abstractNumId w:val="12"/>
  </w:num>
  <w:num w:numId="18" w16cid:durableId="2121753651">
    <w:abstractNumId w:val="18"/>
  </w:num>
  <w:num w:numId="19" w16cid:durableId="983974137">
    <w:abstractNumId w:val="8"/>
  </w:num>
  <w:num w:numId="20" w16cid:durableId="655648156">
    <w:abstractNumId w:val="13"/>
  </w:num>
  <w:num w:numId="21" w16cid:durableId="1952085625">
    <w:abstractNumId w:val="7"/>
  </w:num>
  <w:num w:numId="22" w16cid:durableId="2006087669">
    <w:abstractNumId w:val="23"/>
  </w:num>
  <w:num w:numId="23" w16cid:durableId="1224950478">
    <w:abstractNumId w:val="6"/>
  </w:num>
  <w:num w:numId="24" w16cid:durableId="954826520">
    <w:abstractNumId w:val="24"/>
  </w:num>
  <w:num w:numId="25" w16cid:durableId="1953436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6A"/>
    <w:rsid w:val="000011B7"/>
    <w:rsid w:val="000064F3"/>
    <w:rsid w:val="00012E01"/>
    <w:rsid w:val="0001474C"/>
    <w:rsid w:val="00016A87"/>
    <w:rsid w:val="00024D82"/>
    <w:rsid w:val="0002751A"/>
    <w:rsid w:val="000345C4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D7BED"/>
    <w:rsid w:val="000E2797"/>
    <w:rsid w:val="000E5A67"/>
    <w:rsid w:val="000F35F0"/>
    <w:rsid w:val="000F3787"/>
    <w:rsid w:val="000F4AE3"/>
    <w:rsid w:val="00100D52"/>
    <w:rsid w:val="001010AE"/>
    <w:rsid w:val="00112B0D"/>
    <w:rsid w:val="001166CA"/>
    <w:rsid w:val="00116DDB"/>
    <w:rsid w:val="0012122E"/>
    <w:rsid w:val="00126C59"/>
    <w:rsid w:val="00133E60"/>
    <w:rsid w:val="001343D9"/>
    <w:rsid w:val="00140FA9"/>
    <w:rsid w:val="001416C2"/>
    <w:rsid w:val="00151F06"/>
    <w:rsid w:val="001649BF"/>
    <w:rsid w:val="001653BB"/>
    <w:rsid w:val="001653C3"/>
    <w:rsid w:val="00171D31"/>
    <w:rsid w:val="001754E8"/>
    <w:rsid w:val="00177D28"/>
    <w:rsid w:val="00182556"/>
    <w:rsid w:val="00183B3D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D5E21"/>
    <w:rsid w:val="001D6B51"/>
    <w:rsid w:val="001F08AF"/>
    <w:rsid w:val="001F13BC"/>
    <w:rsid w:val="001F1ABF"/>
    <w:rsid w:val="001F43C1"/>
    <w:rsid w:val="00200AC1"/>
    <w:rsid w:val="002016D3"/>
    <w:rsid w:val="0021282B"/>
    <w:rsid w:val="002143A3"/>
    <w:rsid w:val="00216B3F"/>
    <w:rsid w:val="00237A87"/>
    <w:rsid w:val="002400CF"/>
    <w:rsid w:val="002439EF"/>
    <w:rsid w:val="002519E9"/>
    <w:rsid w:val="002537DA"/>
    <w:rsid w:val="00263B96"/>
    <w:rsid w:val="00266564"/>
    <w:rsid w:val="00266658"/>
    <w:rsid w:val="002714D5"/>
    <w:rsid w:val="00271764"/>
    <w:rsid w:val="00271AEB"/>
    <w:rsid w:val="00275A42"/>
    <w:rsid w:val="00286EAC"/>
    <w:rsid w:val="00290FC6"/>
    <w:rsid w:val="002A0C6E"/>
    <w:rsid w:val="002A784A"/>
    <w:rsid w:val="002B0838"/>
    <w:rsid w:val="002B3381"/>
    <w:rsid w:val="002C3322"/>
    <w:rsid w:val="002C4649"/>
    <w:rsid w:val="002C672A"/>
    <w:rsid w:val="002D0387"/>
    <w:rsid w:val="002D0422"/>
    <w:rsid w:val="002D0BFB"/>
    <w:rsid w:val="002D2095"/>
    <w:rsid w:val="002D5B5A"/>
    <w:rsid w:val="002E3829"/>
    <w:rsid w:val="002E687F"/>
    <w:rsid w:val="002F1596"/>
    <w:rsid w:val="002F6497"/>
    <w:rsid w:val="002F6EB7"/>
    <w:rsid w:val="00301427"/>
    <w:rsid w:val="00304F14"/>
    <w:rsid w:val="00305828"/>
    <w:rsid w:val="00305C0C"/>
    <w:rsid w:val="00306162"/>
    <w:rsid w:val="00310D87"/>
    <w:rsid w:val="00311D3F"/>
    <w:rsid w:val="003174CA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A1EDE"/>
    <w:rsid w:val="003A205D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BD7"/>
    <w:rsid w:val="003C7F22"/>
    <w:rsid w:val="003D1FE7"/>
    <w:rsid w:val="003D23C0"/>
    <w:rsid w:val="003D438A"/>
    <w:rsid w:val="003D5FBA"/>
    <w:rsid w:val="003D713B"/>
    <w:rsid w:val="003D7E31"/>
    <w:rsid w:val="003E08BD"/>
    <w:rsid w:val="003E119A"/>
    <w:rsid w:val="003E531D"/>
    <w:rsid w:val="003E5C8B"/>
    <w:rsid w:val="003F013E"/>
    <w:rsid w:val="003F1CAE"/>
    <w:rsid w:val="003F375E"/>
    <w:rsid w:val="003F4774"/>
    <w:rsid w:val="003F7543"/>
    <w:rsid w:val="00417DAE"/>
    <w:rsid w:val="00421413"/>
    <w:rsid w:val="00422FCD"/>
    <w:rsid w:val="00423CAC"/>
    <w:rsid w:val="00426F34"/>
    <w:rsid w:val="0042773E"/>
    <w:rsid w:val="00427CF9"/>
    <w:rsid w:val="0043110A"/>
    <w:rsid w:val="004459EE"/>
    <w:rsid w:val="00455E2C"/>
    <w:rsid w:val="00461CE7"/>
    <w:rsid w:val="0046454C"/>
    <w:rsid w:val="004709A5"/>
    <w:rsid w:val="004734F2"/>
    <w:rsid w:val="004770AD"/>
    <w:rsid w:val="00477913"/>
    <w:rsid w:val="00486DFA"/>
    <w:rsid w:val="00494E5A"/>
    <w:rsid w:val="0049744A"/>
    <w:rsid w:val="004A3874"/>
    <w:rsid w:val="004A387B"/>
    <w:rsid w:val="004B2690"/>
    <w:rsid w:val="004B2A7F"/>
    <w:rsid w:val="004B5CE0"/>
    <w:rsid w:val="004B6F72"/>
    <w:rsid w:val="004C3BE1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37FD1"/>
    <w:rsid w:val="00542F7F"/>
    <w:rsid w:val="005538E4"/>
    <w:rsid w:val="0055481C"/>
    <w:rsid w:val="005564CE"/>
    <w:rsid w:val="00556B86"/>
    <w:rsid w:val="005621B3"/>
    <w:rsid w:val="005638D6"/>
    <w:rsid w:val="00566E3E"/>
    <w:rsid w:val="0057578E"/>
    <w:rsid w:val="00577F9D"/>
    <w:rsid w:val="00586C8B"/>
    <w:rsid w:val="005870C1"/>
    <w:rsid w:val="00590AC9"/>
    <w:rsid w:val="00591EAD"/>
    <w:rsid w:val="0059201B"/>
    <w:rsid w:val="005A6A24"/>
    <w:rsid w:val="005B2DBF"/>
    <w:rsid w:val="005C4D93"/>
    <w:rsid w:val="005C51F5"/>
    <w:rsid w:val="005C5ADA"/>
    <w:rsid w:val="005D1219"/>
    <w:rsid w:val="005D3CD8"/>
    <w:rsid w:val="005D5A31"/>
    <w:rsid w:val="005D7EB3"/>
    <w:rsid w:val="005E5F10"/>
    <w:rsid w:val="005E6195"/>
    <w:rsid w:val="005E7F96"/>
    <w:rsid w:val="005F7DA8"/>
    <w:rsid w:val="006062A5"/>
    <w:rsid w:val="006063CF"/>
    <w:rsid w:val="00607F5F"/>
    <w:rsid w:val="00614027"/>
    <w:rsid w:val="00614220"/>
    <w:rsid w:val="00620AE1"/>
    <w:rsid w:val="00625181"/>
    <w:rsid w:val="0063105A"/>
    <w:rsid w:val="00631C5E"/>
    <w:rsid w:val="00631D5E"/>
    <w:rsid w:val="00633D05"/>
    <w:rsid w:val="00662297"/>
    <w:rsid w:val="00676F4D"/>
    <w:rsid w:val="00677136"/>
    <w:rsid w:val="00687C5F"/>
    <w:rsid w:val="00690A1F"/>
    <w:rsid w:val="0069665F"/>
    <w:rsid w:val="006A4A43"/>
    <w:rsid w:val="006B3319"/>
    <w:rsid w:val="006B7104"/>
    <w:rsid w:val="006C1D38"/>
    <w:rsid w:val="006C5449"/>
    <w:rsid w:val="006C654B"/>
    <w:rsid w:val="006C7C58"/>
    <w:rsid w:val="006D0758"/>
    <w:rsid w:val="006E189F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93C88"/>
    <w:rsid w:val="00796308"/>
    <w:rsid w:val="007A05C4"/>
    <w:rsid w:val="007A238A"/>
    <w:rsid w:val="007A2A09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0676"/>
    <w:rsid w:val="007E1512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06817"/>
    <w:rsid w:val="0081006C"/>
    <w:rsid w:val="008200A7"/>
    <w:rsid w:val="00821E50"/>
    <w:rsid w:val="00823260"/>
    <w:rsid w:val="008347A6"/>
    <w:rsid w:val="00840929"/>
    <w:rsid w:val="00844930"/>
    <w:rsid w:val="00856F6F"/>
    <w:rsid w:val="00857102"/>
    <w:rsid w:val="008577C8"/>
    <w:rsid w:val="00861642"/>
    <w:rsid w:val="008746D6"/>
    <w:rsid w:val="00877C4E"/>
    <w:rsid w:val="00883D75"/>
    <w:rsid w:val="00892044"/>
    <w:rsid w:val="008A140D"/>
    <w:rsid w:val="008B5902"/>
    <w:rsid w:val="008C6A92"/>
    <w:rsid w:val="008D420A"/>
    <w:rsid w:val="008E212F"/>
    <w:rsid w:val="008F236D"/>
    <w:rsid w:val="00901044"/>
    <w:rsid w:val="00903A55"/>
    <w:rsid w:val="00906B8D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6B1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256E"/>
    <w:rsid w:val="00A33F93"/>
    <w:rsid w:val="00A3731B"/>
    <w:rsid w:val="00A433F1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2FA8"/>
    <w:rsid w:val="00AC468C"/>
    <w:rsid w:val="00AC4DE4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D52"/>
    <w:rsid w:val="00B242FF"/>
    <w:rsid w:val="00B253D9"/>
    <w:rsid w:val="00B317A3"/>
    <w:rsid w:val="00B41280"/>
    <w:rsid w:val="00B4615F"/>
    <w:rsid w:val="00B54C8C"/>
    <w:rsid w:val="00B55CDF"/>
    <w:rsid w:val="00B565FD"/>
    <w:rsid w:val="00B6151F"/>
    <w:rsid w:val="00B66DDA"/>
    <w:rsid w:val="00B72C23"/>
    <w:rsid w:val="00B73432"/>
    <w:rsid w:val="00B74426"/>
    <w:rsid w:val="00B75753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33F8"/>
    <w:rsid w:val="00C2516C"/>
    <w:rsid w:val="00C25BAE"/>
    <w:rsid w:val="00C50F7E"/>
    <w:rsid w:val="00C536EF"/>
    <w:rsid w:val="00C606AE"/>
    <w:rsid w:val="00C65500"/>
    <w:rsid w:val="00C71893"/>
    <w:rsid w:val="00C74F68"/>
    <w:rsid w:val="00C75A8E"/>
    <w:rsid w:val="00C8060A"/>
    <w:rsid w:val="00C81BD6"/>
    <w:rsid w:val="00C84B2B"/>
    <w:rsid w:val="00C906C0"/>
    <w:rsid w:val="00C91C9F"/>
    <w:rsid w:val="00C93B24"/>
    <w:rsid w:val="00C941F6"/>
    <w:rsid w:val="00C97CF4"/>
    <w:rsid w:val="00CA3BAF"/>
    <w:rsid w:val="00CA5053"/>
    <w:rsid w:val="00CA585C"/>
    <w:rsid w:val="00CB4EEB"/>
    <w:rsid w:val="00CC19BA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CF4ABC"/>
    <w:rsid w:val="00D051A2"/>
    <w:rsid w:val="00D20EED"/>
    <w:rsid w:val="00D24B5A"/>
    <w:rsid w:val="00D4291A"/>
    <w:rsid w:val="00D50087"/>
    <w:rsid w:val="00D53E2F"/>
    <w:rsid w:val="00D5557A"/>
    <w:rsid w:val="00D56809"/>
    <w:rsid w:val="00D56A38"/>
    <w:rsid w:val="00D60349"/>
    <w:rsid w:val="00D63747"/>
    <w:rsid w:val="00D63E7A"/>
    <w:rsid w:val="00D70946"/>
    <w:rsid w:val="00D81272"/>
    <w:rsid w:val="00D859C4"/>
    <w:rsid w:val="00D87640"/>
    <w:rsid w:val="00D955E9"/>
    <w:rsid w:val="00DB3925"/>
    <w:rsid w:val="00DB66D2"/>
    <w:rsid w:val="00DB6A72"/>
    <w:rsid w:val="00DD0D8D"/>
    <w:rsid w:val="00DE4B5A"/>
    <w:rsid w:val="00DF74B5"/>
    <w:rsid w:val="00E00D8D"/>
    <w:rsid w:val="00E03395"/>
    <w:rsid w:val="00E0395F"/>
    <w:rsid w:val="00E1006A"/>
    <w:rsid w:val="00E129D5"/>
    <w:rsid w:val="00E1464B"/>
    <w:rsid w:val="00E15F8F"/>
    <w:rsid w:val="00E17AAD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524C6"/>
    <w:rsid w:val="00E56035"/>
    <w:rsid w:val="00E57473"/>
    <w:rsid w:val="00E60828"/>
    <w:rsid w:val="00E6385F"/>
    <w:rsid w:val="00E66B4F"/>
    <w:rsid w:val="00E73E4E"/>
    <w:rsid w:val="00E81929"/>
    <w:rsid w:val="00E83A3B"/>
    <w:rsid w:val="00E85DD1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F1BC0"/>
    <w:rsid w:val="00EF314C"/>
    <w:rsid w:val="00EF5847"/>
    <w:rsid w:val="00EF68A8"/>
    <w:rsid w:val="00EF6E88"/>
    <w:rsid w:val="00F03441"/>
    <w:rsid w:val="00F06159"/>
    <w:rsid w:val="00F11E2E"/>
    <w:rsid w:val="00F12CD7"/>
    <w:rsid w:val="00F147E9"/>
    <w:rsid w:val="00F23BC1"/>
    <w:rsid w:val="00F248F7"/>
    <w:rsid w:val="00F25FD2"/>
    <w:rsid w:val="00F26CEC"/>
    <w:rsid w:val="00F36F95"/>
    <w:rsid w:val="00F37992"/>
    <w:rsid w:val="00F47BEB"/>
    <w:rsid w:val="00F50DB0"/>
    <w:rsid w:val="00F51C04"/>
    <w:rsid w:val="00F53B58"/>
    <w:rsid w:val="00F54FA7"/>
    <w:rsid w:val="00F5714D"/>
    <w:rsid w:val="00F57A42"/>
    <w:rsid w:val="00F654B6"/>
    <w:rsid w:val="00F6703D"/>
    <w:rsid w:val="00F90DB6"/>
    <w:rsid w:val="00F92EFA"/>
    <w:rsid w:val="00F9538F"/>
    <w:rsid w:val="00FA5E93"/>
    <w:rsid w:val="00FA7DFD"/>
    <w:rsid w:val="00FB15CB"/>
    <w:rsid w:val="00FB7F35"/>
    <w:rsid w:val="00FC1A9B"/>
    <w:rsid w:val="00FC22E9"/>
    <w:rsid w:val="00FC3C09"/>
    <w:rsid w:val="00FC721F"/>
    <w:rsid w:val="00FC7459"/>
    <w:rsid w:val="00FC777A"/>
    <w:rsid w:val="00FC7C8B"/>
    <w:rsid w:val="00FD36AE"/>
    <w:rsid w:val="00FD5F3E"/>
    <w:rsid w:val="00FD6175"/>
    <w:rsid w:val="00FE15BC"/>
    <w:rsid w:val="00FE240B"/>
    <w:rsid w:val="00FE335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icka@ppcg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CBFC6-F17C-4ECB-9A2A-C46CBD9F4EF7}">
  <ds:schemaRefs>
    <ds:schemaRef ds:uri="http://schemas.microsoft.com/office/2006/metadata/properties"/>
    <ds:schemaRef ds:uri="abe8b44c-c6df-40e6-adcb-cecf051212f4"/>
  </ds:schemaRefs>
</ds:datastoreItem>
</file>

<file path=customXml/itemProps2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BA484-66E2-4753-AF2C-8B45BC3F94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2753</Words>
  <Characters>16243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/>
  <LinksUpToDate>false</LinksUpToDate>
  <CharactersWithSpaces>18959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Eliška Blahová</cp:lastModifiedBy>
  <cp:revision>2</cp:revision>
  <cp:lastPrinted>2022-10-17T14:07:00Z</cp:lastPrinted>
  <dcterms:created xsi:type="dcterms:W3CDTF">2023-04-18T08:45:00Z</dcterms:created>
  <dcterms:modified xsi:type="dcterms:W3CDTF">2023-04-18T08:45:00Z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